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B0" w:rsidRDefault="008762B0" w:rsidP="008762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Title:- </w:t>
      </w:r>
      <w:r w:rsidR="00DD60B9">
        <w:rPr>
          <w:rFonts w:ascii="Times New Roman" w:hAnsi="Times New Roman" w:cs="Times New Roman"/>
          <w:b/>
          <w:i/>
          <w:sz w:val="28"/>
          <w:szCs w:val="28"/>
        </w:rPr>
        <w:t>“</w:t>
      </w:r>
      <w:r w:rsidR="00603274">
        <w:rPr>
          <w:rFonts w:ascii="Times New Roman" w:hAnsi="Times New Roman" w:cs="Times New Roman"/>
          <w:b/>
          <w:i/>
          <w:sz w:val="28"/>
          <w:szCs w:val="28"/>
        </w:rPr>
        <w:t xml:space="preserve">The Effectiveness of Community </w:t>
      </w:r>
      <w:r w:rsidR="00603274" w:rsidRPr="00603274">
        <w:rPr>
          <w:rFonts w:ascii="Times New Roman" w:hAnsi="Times New Roman" w:cs="Times New Roman"/>
          <w:b/>
          <w:i/>
          <w:sz w:val="28"/>
          <w:szCs w:val="28"/>
        </w:rPr>
        <w:t>Based Alcohol Treatment Programs in India: A Sociological Analysis</w:t>
      </w:r>
      <w:r w:rsidR="00DD60B9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762B0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62B0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62B0" w:rsidRPr="00D36AE5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AE5">
        <w:rPr>
          <w:rFonts w:ascii="Times New Roman" w:hAnsi="Times New Roman" w:cs="Times New Roman"/>
          <w:b/>
          <w:i/>
          <w:sz w:val="28"/>
          <w:szCs w:val="28"/>
        </w:rPr>
        <w:t>Ved Parkash</w:t>
      </w:r>
    </w:p>
    <w:p w:rsidR="008762B0" w:rsidRPr="00D36AE5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36AE5">
        <w:rPr>
          <w:rFonts w:ascii="Times New Roman" w:hAnsi="Times New Roman" w:cs="Times New Roman"/>
          <w:b/>
          <w:i/>
          <w:sz w:val="28"/>
          <w:szCs w:val="28"/>
        </w:rPr>
        <w:t>Assistant Professor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762B0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AE5">
        <w:rPr>
          <w:rFonts w:ascii="Times New Roman" w:hAnsi="Times New Roman" w:cs="Times New Roman"/>
          <w:b/>
          <w:i/>
          <w:sz w:val="28"/>
          <w:szCs w:val="28"/>
        </w:rPr>
        <w:t>S.J.K. College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of Education, </w:t>
      </w:r>
    </w:p>
    <w:p w:rsidR="008762B0" w:rsidRPr="00D36AE5" w:rsidRDefault="008762B0" w:rsidP="008762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Kalanaur, Rohtak (Haryana).</w:t>
      </w:r>
    </w:p>
    <w:p w:rsidR="00C964F4" w:rsidRDefault="008762B0" w:rsidP="008762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Mobile</w:t>
      </w:r>
      <w:r w:rsidRPr="00D36A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No.- </w:t>
      </w:r>
      <w:r w:rsidRPr="00D36AE5">
        <w:rPr>
          <w:rFonts w:ascii="Times New Roman" w:hAnsi="Times New Roman" w:cs="Times New Roman"/>
          <w:b/>
          <w:i/>
          <w:sz w:val="28"/>
          <w:szCs w:val="28"/>
        </w:rPr>
        <w:t xml:space="preserve"> 9034341177</w:t>
      </w:r>
    </w:p>
    <w:p w:rsidR="008762B0" w:rsidRPr="00C964F4" w:rsidRDefault="00C964F4" w:rsidP="008762B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E-Mail Id:- dr.ved009@gmail</w:t>
      </w:r>
      <w:r w:rsidR="008762B0">
        <w:rPr>
          <w:rFonts w:ascii="Times New Roman" w:hAnsi="Times New Roman" w:cs="Times New Roman"/>
          <w:b/>
          <w:i/>
          <w:sz w:val="28"/>
          <w:szCs w:val="28"/>
        </w:rPr>
        <w:t>.com</w:t>
      </w:r>
    </w:p>
    <w:p w:rsidR="00F93DD9" w:rsidRDefault="00F93DD9">
      <w:pPr>
        <w:rPr>
          <w:rFonts w:ascii="Arial Rounded MT Bold" w:hAnsi="Arial Rounded MT Bold" w:cstheme="minorHAnsi"/>
          <w:b/>
          <w:sz w:val="44"/>
          <w:szCs w:val="44"/>
        </w:rPr>
      </w:pPr>
    </w:p>
    <w:p w:rsidR="008C5F1A" w:rsidRDefault="008762B0" w:rsidP="008C5F1A">
      <w:pP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Abstract</w:t>
      </w:r>
      <w:r w:rsidRPr="008762B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:</w:t>
      </w:r>
    </w:p>
    <w:p w:rsidR="00BB25BB" w:rsidRPr="008C5F1A" w:rsidRDefault="00603274" w:rsidP="008C5F1A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This comprehensive sociological analysis examines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the effectiveness of community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based alcohol treatment programs in India through a multidisciplinary lens. Analyzing data from 15 empirical studies and policy frameworks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, we demonstrate that community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based interventions achieve abstinence rates of 73-81% compared to 57% in hospital-based programs. The research employs sociologi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cal theories including Social Capital, Structural Functionalism and Symbolic Interactionism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to reveal how these programs successfully leverage indigenous social structures to reduce stigma and improve treatment accessibility. Despite promising outcomes, significant challenges persist: a treatmen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 gap exceeding 97% for alcohol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dependent individuals, fragmentation in policy implementation, workforce deficiencies with only 12,000 psychiatrists serving 7.5 crore individua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ls with substance use disorders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and persistent human rights violations in in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stitutional settings. Community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based camps demonstrate 27% higher fol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low-up compliance than hospital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based alternatives, attributable to familial reinforcement and cultural alignment. Recommendations include integrating digital technologies with traditional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approaches, implementing rights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based regulatory frameworks inspired by the Mental Healthcare Act 2017, developing accredited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addiction counseling programs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and scaling up the Community Reinforcement Approach which shows 36% efficacy in South Asian contexts. This study contributes to the emerging sociology of addiction in Global South contexts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by demonstrating how community </w:t>
      </w:r>
      <w:r w:rsidRPr="00603274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driven models effectively navigate India's complex sociocultural landscape while addressing structural inequities in alcohol use disorder treatment.</w:t>
      </w:r>
      <w:r w:rsidR="00BB25BB" w:rsidRPr="00BB25BB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</w:p>
    <w:p w:rsidR="008762B0" w:rsidRDefault="00603274" w:rsidP="008762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Keywords: Community-Based Treatment, Alcohol use Disorder, India, Sociological Analysis, Addiction Treatment, Public Health, Health D</w:t>
      </w:r>
      <w:r w:rsidRPr="0060327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isparities, Whole Person Recovery,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Community Reinforcement Approach.</w:t>
      </w:r>
    </w:p>
    <w:p w:rsidR="008C5F1A" w:rsidRPr="008762B0" w:rsidRDefault="008C5F1A" w:rsidP="008762B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:rsidR="008C5F1A" w:rsidRPr="00E01D77" w:rsidRDefault="008C5F1A" w:rsidP="00E01D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</w:pPr>
      <w:r w:rsidRPr="00E01D7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en-US"/>
        </w:rPr>
        <w:lastRenderedPageBreak/>
        <w:t>Introduction:</w:t>
      </w:r>
    </w:p>
    <w:p w:rsidR="00E01D77" w:rsidRDefault="00E01D77" w:rsidP="00E01D7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Alcohol Use Disorder (AUD) represents a critical public health challenge in India, where culturally embedded drinking patterns intersect with limited treatment infrastructure to create complex sociological phenomena. Recent epidemiologi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cal data reveals approximately 16 crore current alcohol users aged 10-75 years, with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5.2% (approximately 8.3 million) meeting diagnostic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criteria for alcohol dependence.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treatment landscape exhibits alarming disparities: d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espite alcohol contributing to 3.7% of all deaths and 3.1% of disability nationally, only 2.6% of alcohol dependent individuals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access formal treatm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ent services . This staggering treatment gap exceeding 97%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reflects structural inadequacies that demand sociological investigation beyond conventional biomedical frameworks.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Community-based alcohol treatment programs have emerged as promising alternatives to institutional approaches, demonstrating particula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 relevance in India's resource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constrained and culturally diverse environment. These interventions encompass varied modal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ities: community organizing interventions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modeled on the Communities Mobilizing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for Change on Alcohol framework, decentralized treatment camps in rural settings, and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culturally adapte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 psychotherapeutic approaches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like the Community Reinforcement 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pproach (CRA).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Their sociological significance lies in repositioning addiction from individual pathol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ogy to community health concern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 paradigm shift with profound implicatio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ns for treatment accessibility, stigma reduction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and recovery sustainability.</w:t>
      </w:r>
    </w:p>
    <w:p w:rsidR="00E01D77" w:rsidRPr="00E01D77" w:rsidRDefault="00E01D77" w:rsidP="00E01D7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This research addresses critical gaps in the sociology of addiction literature. While substantial evidence exists regarding clinical out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comes of specific interventions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, insufficient scholarly attention has addresse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 how community-based programs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navigate India's c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omplex sociocultural landscape or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recon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figure structural determinants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of treatment access.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Through systematic analysis of Empirical Studies, Policy Frameworks and Sociological T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heories, this paper examines three fundamental questions:</w:t>
      </w:r>
    </w:p>
    <w:p w:rsidR="00E01D77" w:rsidRPr="00E01D77" w:rsidRDefault="00E01D77" w:rsidP="00E01D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How do community-based alcohol treatment programs in India perform relative to institutional approaches in terms of abstinen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ce rates, follow-up compliance and quality of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life outcomes?</w:t>
      </w:r>
    </w:p>
    <w:p w:rsidR="00E01D77" w:rsidRPr="00E01D77" w:rsidRDefault="00E01D77" w:rsidP="00E01D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Through which sociological mechanisms do these programs enhance treatment engagement and recovery sustainability in diverse Indian contexts?</w:t>
      </w:r>
    </w:p>
    <w:p w:rsidR="00E01D77" w:rsidRDefault="00E01D77" w:rsidP="00E01D7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What structural barrie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rs limit program effectiveness and how might rights </w:t>
      </w:r>
      <w:r w:rsidRPr="00E01D7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based, culturally responsive frameworks address these challenges?</w:t>
      </w:r>
    </w:p>
    <w:p w:rsidR="001472DB" w:rsidRDefault="001472DB" w:rsidP="001472DB">
      <w:pPr>
        <w:pStyle w:val="ListParagraph"/>
        <w:spacing w:line="360" w:lineRule="auto"/>
        <w:ind w:left="765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5C5FC3" w:rsidRDefault="005C5FC3" w:rsidP="005C5FC3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5C5FC3" w:rsidRDefault="00053987" w:rsidP="005C5FC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lastRenderedPageBreak/>
        <w:t xml:space="preserve">Theoretical </w:t>
      </w:r>
      <w:r w:rsidR="001472DB" w:rsidRPr="001472DB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Framework: Sociological Perspectives on Addiction Treatment</w:t>
      </w:r>
      <w:r w:rsidR="005C5FC3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:</w:t>
      </w:r>
    </w:p>
    <w:p w:rsidR="005C5FC3" w:rsidRDefault="005C5FC3" w:rsidP="005C5FC3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Understanding community-based alcohol treatment requires engagement with three interconnected sociological paradigms that illuminate distinct dimensions of addiction and recovery:</w:t>
      </w:r>
    </w:p>
    <w:p w:rsidR="005C5FC3" w:rsidRDefault="005C5FC3" w:rsidP="005C5FC3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5C5FC3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Social Capital Theory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provides the foundational lens for analyzing h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ow community programs leverage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indigenous relational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resources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to support recovery. Bourdieu's conceptualization of social capital as "durable networks of mutual acquaintance" explains the efficacy of interventions that integrate famil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y members as therapeutic agents.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Alcohol Abstinence Maintenance Program (AAMP) in Tamil Nadu exemplifie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 this approach, demonstrating 93.9% retention rates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over two years by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embedding treatment within pre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existing kinship ne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tworks and community structures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. This stands in stark contrast to institutional models that isolate individuals from their social ecology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during critical recovery phases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an approach sociologically incongruent with collectivist cultural orientations prevalent across rural India.</w:t>
      </w:r>
    </w:p>
    <w:p w:rsidR="005C5FC3" w:rsidRDefault="005C5FC3" w:rsidP="005C5FC3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5C5FC3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Structural Functionalism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illuminates how community-based treatment restores equilibrium in social systems d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isrupted by alcohol dependence. When viewed through Parsons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si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ck role theory, AUD represents double deviance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violating both health nor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ms and social responsibilities.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Community camps in Udupi District effectively addresse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 this through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ritual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istic reintegration ceremonies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where recovered individuals publicly resumed social role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 . These programs function as mechanisms of social control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that regulate deviance while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maintaining systemic stability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 function particularly vital in agrarian communities where alcohol dependence threatens household economic survival and intergenerational welfare.</w:t>
      </w:r>
    </w:p>
    <w:p w:rsidR="005C5FC3" w:rsidRDefault="005C5FC3" w:rsidP="005C5FC3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5C5FC3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Symbolic Interactionism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reveals the micro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sociological processes through which community programs reconstruct identity and meaning. Goffma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n's stigma theory explains how spoiled identity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manifests uniqu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ely in Indian contexts through marital disqualification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(inabi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lity to arrange marriages) and ritual pollution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(exclusion from 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eligious ceremonies). Community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approaches faci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litate identity reconstruction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through public testimonials and socially visible recovery milestones, effectively transforming "addict" identitie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 into "community mentor" roles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 The Community Reinforcement Approach (CRA) operationalizes interactionist principle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 by systematically increasing positive reinforcement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for sobrie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ty through social contingencies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5C5FC3" w:rsidRDefault="005C5FC3" w:rsidP="005C5FC3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These theoretical foundations revea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 community-based treatment as </w:t>
      </w:r>
      <w:r w:rsidRPr="005C5FC3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Sociological Intervention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rather than merely clinical service. By consciously leve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raging Cultural Capital, Social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lastRenderedPageBreak/>
        <w:t>Networks and Indigenous Meaning S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ystems, these programs dem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onstrate what Bourdieu termed </w:t>
      </w:r>
      <w:r w:rsidRPr="005C5FC3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Misrecognition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 w:rsidRPr="005C5FC3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converting social facts into therapeutic resources through processes opaque to both participants and practitioners.</w:t>
      </w:r>
    </w:p>
    <w:p w:rsidR="00053987" w:rsidRDefault="00053987" w:rsidP="000539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Methodology: Analytical Approach: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This research employs a </w:t>
      </w: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Systematic Integrative Review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methodology to synthesize empirical findings, policy analyses, and theoretical frameworks. The analytical approach incorporates:</w:t>
      </w:r>
    </w:p>
    <w:p w:rsidR="00053987" w:rsidRPr="00053987" w:rsidRDefault="00053987" w:rsidP="0005398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Data Identification: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Empirical S</w:t>
      </w:r>
      <w:r w:rsidRPr="00053987"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tudies:</w:t>
      </w: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(2012-2025) E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valuating community-based AUD interventions in Indian contexts.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Policy D</w:t>
      </w:r>
      <w:r w:rsidRPr="00053987"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ocuments</w:t>
      </w: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 xml:space="preserve">: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Including India's National Action Plan for Drug Demand Reduction (NAPDDR) 2018-2025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Theoretical L</w:t>
      </w:r>
      <w:r w:rsidRPr="00053987"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iterature</w:t>
      </w:r>
      <w:r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 xml:space="preserve">: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On S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ociology of addiction, with particular attention to Global South applications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Pr="00053987" w:rsidRDefault="00053987" w:rsidP="0005398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Analytical Framework: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Micro-Level: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Individual clinical outcomes (abstinence rates, quality of life)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Meso-level: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Program implementation factors (workforce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capacity, cultural adaptation).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Exo-level: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Policy and regulatory frameworks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Macro-level: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Sociocultural norms and structural determinants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Pr="00053987" w:rsidRDefault="00053987" w:rsidP="0005398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Critical Evaluation: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Studies underwent assessment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using </w:t>
      </w: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The Sociological Quality Appraisal Tool (SQAT)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, evaluating:</w:t>
      </w:r>
    </w:p>
    <w:p w:rsidR="00053987" w:rsidRPr="00053987" w:rsidRDefault="00053987" w:rsidP="0005398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Cultural C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ongruence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Power dynamics in researcher-participant relationships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Attention to structural determinants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Ethical considerations in vulnerable populations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This approach facilitates robust understanding of community-based treatment effectiveness beyond clinical metrics to encompass sociological dimensions of recovery.</w:t>
      </w:r>
    </w:p>
    <w:p w:rsidR="00053987" w:rsidRDefault="00053987" w:rsidP="000539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lastRenderedPageBreak/>
        <w:t>Alcohol Treatment Landscape in India: Current Context: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India's alcoho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l treatment ecosystem reflects Contradictory Policy Approaches and F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agmented Implementation Systems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that perpetuate the treatment gap. The current landscape reveals three parallel systems operating with minimal integration:</w:t>
      </w:r>
    </w:p>
    <w:p w:rsidR="00053987" w:rsidRDefault="00053987" w:rsidP="0005398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Institutional Treatment Infrastructure:</w:t>
      </w:r>
    </w:p>
    <w:p w:rsidR="00053987" w:rsidRPr="00053987" w:rsidRDefault="00053987" w:rsidP="0005398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400 Integrated Reha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bilitation Centers for Addicts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(IRCAs) established un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der Ministry of Social Justice Initiatives.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716 district hospitals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with mental health programs theoretically providing AUD services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 </w:t>
      </w:r>
    </w:p>
    <w:p w:rsidR="00053987" w:rsidRDefault="00053987" w:rsidP="00053987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120 me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dical college psychiatry units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offering specialized care concentrated in urban centers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Despite this apparent infrastructure, critical deficiencies persist. A 2019 Delhi High Cou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rt investigation revealed that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35% of d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e-addiction center admissions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occurred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involuntarily, with widespread human rights violations including Forced Labor, Physical Abuse and Unsanitary Conditions.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Private facilities demonstrate even greater regulatory ch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allenges, with many operating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thout registration or adherence to national laws.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These findings reveal institu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tional treatment as frequently iatrogenic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exacerbating social exclusion rather than facilitating recovery.</w:t>
      </w:r>
    </w:p>
    <w:p w:rsidR="00053987" w:rsidRDefault="00053987" w:rsidP="0005398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Policy Frameworks and Implementation Gaps: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National Action Pla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 for Drug Demand Reduction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(NAPDDR 2018-2025) establishes comprehensive principles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for community-based approaches,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emphasizing:  </w:t>
      </w:r>
    </w:p>
    <w:p w:rsidR="00053987" w:rsidRPr="00053987" w:rsidRDefault="00053987" w:rsidP="000539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Preventive education in educational institutions.  </w:t>
      </w:r>
    </w:p>
    <w:p w:rsidR="00053987" w:rsidRPr="00053987" w:rsidRDefault="00053987" w:rsidP="000539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Whole Person Recovery (WPR) integrating social rehabilitation.  </w:t>
      </w:r>
    </w:p>
    <w:p w:rsidR="00053987" w:rsidRDefault="00053987" w:rsidP="0005398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Capacity building for community service providers.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However, policy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practice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disjunctures remain pronounced. Implementation suffers from inadequate funding allocation (only 0.06% of health budget) territorial fragmentation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(health being state subj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ect while NAPDDR centralized) and conceptual ambiguity regarding community participation.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absence of standardized outcome 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etrics further impedes evidence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scaling of effective models.</w:t>
      </w:r>
    </w:p>
    <w:p w:rsidR="00053987" w:rsidRDefault="00053987" w:rsidP="00053987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Sociocultural Determinants of Treatment Access: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Treatment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seeking behavior reflects complex cultural negotiations:  </w:t>
      </w:r>
    </w:p>
    <w:p w:rsidR="00053987" w:rsidRPr="00053987" w:rsidRDefault="00053987" w:rsidP="0005398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lastRenderedPageBreak/>
        <w:t>Stigma M</w:t>
      </w: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anifestations: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voidance of biomedical labels (Alcoholic)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pref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erring spiritual explanations (vice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)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Gender D</w:t>
      </w: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isparities: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49.2% of men identify AUD as problematic versus &lt;1% women despite significant hidden dependence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Pluralistic Health S</w:t>
      </w:r>
      <w:r w:rsidRPr="00053987">
        <w:rPr>
          <w:rFonts w:ascii="Times New Roman" w:eastAsia="TimesNewRoman" w:hAnsi="Times New Roman" w:cs="Times New Roman"/>
          <w:b/>
          <w:bCs/>
          <w:iCs/>
          <w:sz w:val="24"/>
          <w:szCs w:val="24"/>
          <w:lang w:val="en-US"/>
        </w:rPr>
        <w:t>eeking: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Simultaneous consultation with Traditional Healers, Religious Figures and Medical P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roviders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 factors necessitate community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approaches that navigate cultural meanings while 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ntegrating evidence based interventions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 balance exemplified in the community camp model discussed below. </w:t>
      </w:r>
    </w:p>
    <w:p w:rsidR="00053987" w:rsidRDefault="00053987" w:rsidP="0005398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Empirical Evidence: Outcomes of Community-Based Approaches: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Community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alcohol treatment programs demonstrate compelling outcomes across clinical,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functional and social domains.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following sections analyze evidence from four distinct intervention models:</w:t>
      </w:r>
    </w:p>
    <w:p w:rsidR="00053987" w:rsidRDefault="00053987" w:rsidP="0005398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Community-Based Camps (CBC)</w:t>
      </w:r>
      <w:r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camp approach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represents India's most extensively documented community intervention, with outcomes systematically evaluated in Udupi District, Karnataka . This model features:</w:t>
      </w:r>
    </w:p>
    <w:p w:rsidR="00053987" w:rsidRPr="00053987" w:rsidRDefault="00053987" w:rsidP="0005398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 xml:space="preserve">Implementation Structure: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7 day intensive programs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in village community centers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Multimodal interventions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: Pharmacotherapy (disulfiram), group counseling, family education, vocational guidance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Post-camp reinforcement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: Monthly community follow-up meetings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053987" w:rsidRPr="00053987" w:rsidRDefault="00053987" w:rsidP="0005398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  <w:t>Outcomes: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73% abstinence rate* at 2 month follow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up versus 5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7% in hospital-based camps (HBC).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27% relapse rate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versus 43% in HBC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Medium effect size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(d=0.36) for follow-up compliance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Significant improvement in WHOQOL-BREF scores (d=0.27).</w:t>
      </w:r>
    </w:p>
    <w:p w:rsidR="00053987" w:rsidRDefault="00053987" w:rsidP="0005398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053987" w:rsidRDefault="00053987" w:rsidP="0005398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053987" w:rsidRDefault="00053987" w:rsidP="0005398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lastRenderedPageBreak/>
        <w:t>Sociological Mechanisms: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CBC's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superior outcomes derive from spatial embeddedness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(treating individuals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within familiar environments), collective ownership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(local orga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nizations co-managing programs) and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ritua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listic reintegration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(pu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blic certification ceremonies). These mechanisms reduce treatment-induced dislocation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significant barrier in hospital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models requiring travel to urban centers.</w:t>
      </w:r>
    </w:p>
    <w:p w:rsidR="00053987" w:rsidRDefault="00053987" w:rsidP="0005398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Alcohol Absti</w:t>
      </w:r>
      <w:r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nence Maintenance Program (AAMP):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AAMP model in rur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al Tamil Nadu demonstrates long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term 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ecovery sustainability through family mediated reinforcement and continuity of care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:</w:t>
      </w:r>
    </w:p>
    <w:p w:rsidR="00053987" w:rsidRPr="00053987" w:rsidRDefault="00053987" w:rsidP="0005398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Program Components:  </w:t>
      </w:r>
    </w:p>
    <w:p w:rsidR="00053987" w:rsidRPr="00053987" w:rsidRDefault="00053987" w:rsidP="0005398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3-6 week inpatient phase with family co-residence. </w:t>
      </w:r>
    </w:p>
    <w:p w:rsidR="00053987" w:rsidRPr="00053987" w:rsidRDefault="00053987" w:rsidP="0005398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Disulfiram pharmacotherapy with supervised administration.  </w:t>
      </w:r>
    </w:p>
    <w:p w:rsidR="00053987" w:rsidRDefault="00053987" w:rsidP="00053987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24 month community follow up with monthly counseling.</w:t>
      </w:r>
    </w:p>
    <w:p w:rsidR="00053987" w:rsidRDefault="00053987" w:rsidP="0005398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053987" w:rsidRPr="00053987" w:rsidRDefault="00053987" w:rsidP="0005398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Outcomes:  </w:t>
      </w:r>
    </w:p>
    <w:p w:rsidR="00053987" w:rsidRPr="00053987" w:rsidRDefault="00053987" w:rsidP="000539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93.9% retention over 2 years. </w:t>
      </w:r>
    </w:p>
    <w:p w:rsidR="00053987" w:rsidRPr="00053987" w:rsidRDefault="00053987" w:rsidP="000539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81.1% sustained abstinence. </w:t>
      </w:r>
    </w:p>
    <w:p w:rsidR="00053987" w:rsidRPr="00053987" w:rsidRDefault="00053987" w:rsidP="000539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14.8% low-risk drinking.  </w:t>
      </w:r>
    </w:p>
    <w:p w:rsidR="00053987" w:rsidRDefault="00053987" w:rsidP="0005398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Significant reductions in family burden (FBIS scores -42.3%, p&lt;0.001).</w:t>
      </w:r>
    </w:p>
    <w:p w:rsidR="00053987" w:rsidRDefault="00053987" w:rsidP="0005398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053987" w:rsidRPr="00053987" w:rsidRDefault="00053987" w:rsidP="0005398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05398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Cultural Adaptation Factors: </w:t>
      </w:r>
    </w:p>
    <w:p w:rsidR="003B3E1B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Program effectiveness reflects familialization of Treatment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(requiring fa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mily member co-participation),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tegration with agrarian cycles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(sche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duling around harvest seasons) and spiritual syncretism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(incorporating lo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cal devotional practices).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 cultural congruence produced therapeutic social control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where fam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ilies became recovery enforcers </w:t>
      </w:r>
      <w:r w:rsidRPr="0005398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educing professional dependency.</w:t>
      </w:r>
    </w:p>
    <w:p w:rsidR="00053987" w:rsidRDefault="003B3E1B" w:rsidP="003B3E1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3B3E1B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Community Reinforcement Approach (CRA):</w:t>
      </w:r>
    </w:p>
    <w:p w:rsidR="003B3E1B" w:rsidRDefault="003B3E1B" w:rsidP="003B3E1B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 CRA demonstrates cross </w:t>
      </w: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cultural efficacy in Pakistani settings with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relevance to Indian contexts. This cognitive </w:t>
      </w: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behavioral approach employs:</w:t>
      </w:r>
    </w:p>
    <w:p w:rsidR="003B3E1B" w:rsidRPr="003B3E1B" w:rsidRDefault="003B3E1B" w:rsidP="003B3E1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3B3E1B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Core Strategies:  </w:t>
      </w:r>
    </w:p>
    <w:p w:rsidR="003B3E1B" w:rsidRPr="003B3E1B" w:rsidRDefault="003B3E1B" w:rsidP="003B3E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Environmental restructuring to increase sober reinforcement.  </w:t>
      </w:r>
    </w:p>
    <w:p w:rsidR="003B3E1B" w:rsidRPr="003B3E1B" w:rsidRDefault="003B3E1B" w:rsidP="003B3E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lastRenderedPageBreak/>
        <w:t xml:space="preserve">Happiness training to enhance natural reward sensitivity.  </w:t>
      </w:r>
    </w:p>
    <w:p w:rsidR="003B3E1B" w:rsidRDefault="003B3E1B" w:rsidP="003B3E1B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Social skills coaching for relationship repair.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</w:t>
      </w:r>
    </w:p>
    <w:p w:rsidR="003B3E1B" w:rsidRDefault="003B3E1B" w:rsidP="003B3E1B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3B3E1B" w:rsidRPr="003B3E1B" w:rsidRDefault="003B3E1B" w:rsidP="003B3E1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3B3E1B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Outcomes: </w:t>
      </w:r>
    </w:p>
    <w:p w:rsidR="003B3E1B" w:rsidRPr="003B3E1B" w:rsidRDefault="003B3E1B" w:rsidP="003B3E1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36% greater abstinence rates versus standard care. </w:t>
      </w:r>
    </w:p>
    <w:p w:rsidR="003B3E1B" w:rsidRPr="003B3E1B" w:rsidRDefault="003B3E1B" w:rsidP="003B3E1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Significantly higher WHOQOL-BREF scores (p&lt;0.01). </w:t>
      </w:r>
    </w:p>
    <w:p w:rsidR="003B3E1B" w:rsidRDefault="003B3E1B" w:rsidP="003B3E1B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Happiness Scale improvements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exceeding control group by 41%.</w:t>
      </w:r>
    </w:p>
    <w:p w:rsidR="003B3E1B" w:rsidRDefault="003B3E1B" w:rsidP="003B3E1B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3B3E1B" w:rsidRPr="003B3E1B" w:rsidRDefault="003B3E1B" w:rsidP="003B3E1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3B3E1B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Sociocultural Applicability:  </w:t>
      </w:r>
    </w:p>
    <w:p w:rsidR="003B3E1B" w:rsidRDefault="003B3E1B" w:rsidP="003B3E1B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CRA's emphasis on kinship reconciliation and vocational rehabilitation </w:t>
      </w: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aligns with collectivist cultural priorities. Its mechanistic approach to social reinforcement transcends specific cultural contexts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while requiring adaptation to </w:t>
      </w: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joint family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decision making structures and caste-mediated social networks</w:t>
      </w:r>
      <w:r w:rsidRPr="003B3E1B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in Indian applications.</w:t>
      </w:r>
    </w:p>
    <w:p w:rsidR="003B3E1B" w:rsidRDefault="00626B17" w:rsidP="00626B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Sociological Analysis: Mechanisms of Effectiveness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Community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programs derive therapeutic efficacy through specific sociological mechanisms that remain inadequately articulated in clinical literature. Our analysis identifies four primary pathways: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Stigma Reduction Through Spatial Integration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: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Unli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ke institutional settings that territorially stigmatize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through segregation, community programs leverage familiar settings (v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illage halls, temples, schools)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that normalize participation. The 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patial dimension proves crucial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participants access care wit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hout visible identification as patients, avoiding the courtesy stigma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that extends to family members. This spatial integra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tion transforms treatment from discrediting attribute to community health activity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 distinction particularly vital for preserving mar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riage prospects of participants children.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Familial Reinforcement Systems: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Communi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ty models successfully convert family networks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from passive observer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 to active therapeutic agents.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AAMP program demonstrates this through structured family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counseling that establishes monitoring protocols, reinforcement contingencies and relapse response plans.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This represents a sociological innovation: transforming kinship obligations from abstract cultural values into operational recovery capital.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Families become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surveillance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lastRenderedPageBreak/>
        <w:t xml:space="preserve">systems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det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ecting early warning signs and reward systems celebrating sobriety milestones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functions traditionally reserved for professional staff in institutional models.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Ritualistic Reintegration Ceremonies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: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Community cam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ps incorporate cultural rituals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that facilitate social reintegration. The Udupi Dis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trict program featured public recovery pledges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witnessed by village 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lders, effectively leveraging social accountability mechanisms. These rituals function as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stat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us passage ceremonies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sociologically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transforming participants from addict to recovering identities through community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sanctioned transitions. The ceremonial dimension proves particularly significant in rural contexts where reputational damage from alcohol dependence often exceeds health consequences.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Empowerment Through Structural Engagement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:  </w:t>
      </w:r>
    </w:p>
    <w:p w:rsidR="00626B17" w:rsidRPr="006C020D" w:rsidRDefault="00626B17" w:rsidP="006C020D">
      <w:pPr>
        <w:pStyle w:val="NormalWeb"/>
        <w:spacing w:line="360" w:lineRule="auto"/>
        <w:jc w:val="both"/>
      </w:pPr>
      <w:r w:rsidRPr="00626B17">
        <w:rPr>
          <w:rFonts w:eastAsia="TimesNewRoman"/>
          <w:iCs/>
          <w:lang w:val="en-US"/>
        </w:rPr>
        <w:t>Community organizin</w:t>
      </w:r>
      <w:r>
        <w:rPr>
          <w:rFonts w:eastAsia="TimesNewRoman"/>
          <w:iCs/>
          <w:lang w:val="en-US"/>
        </w:rPr>
        <w:t xml:space="preserve">g models like CMCA demonstrate </w:t>
      </w:r>
      <w:r w:rsidRPr="00626B17">
        <w:rPr>
          <w:rFonts w:eastAsia="TimesNewRoman"/>
          <w:iCs/>
          <w:lang w:val="en-US"/>
        </w:rPr>
        <w:t>cri</w:t>
      </w:r>
      <w:r>
        <w:rPr>
          <w:rFonts w:eastAsia="TimesNewRoman"/>
          <w:iCs/>
          <w:lang w:val="en-US"/>
        </w:rPr>
        <w:t>tical consciousness development</w:t>
      </w:r>
      <w:r w:rsidRPr="00626B17">
        <w:rPr>
          <w:rFonts w:eastAsia="TimesNewRoman"/>
          <w:iCs/>
          <w:lang w:val="en-US"/>
        </w:rPr>
        <w:t xml:space="preserve"> where participants collectively addr</w:t>
      </w:r>
      <w:r>
        <w:rPr>
          <w:rFonts w:eastAsia="TimesNewRoman"/>
          <w:iCs/>
          <w:lang w:val="en-US"/>
        </w:rPr>
        <w:t>ess alcohol supply determinants</w:t>
      </w:r>
      <w:r w:rsidRPr="00626B17">
        <w:rPr>
          <w:rFonts w:eastAsia="TimesNewRoman"/>
          <w:iCs/>
          <w:lang w:val="en-US"/>
        </w:rPr>
        <w:t xml:space="preserve">. </w:t>
      </w:r>
      <w:r w:rsidR="006C020D">
        <w:t>This reflects a highly advanced sociological process, shifting individuals from being passive recipients of treatment to becoming active agents of community transformation.</w:t>
      </w:r>
      <w:r w:rsidRPr="00626B17">
        <w:rPr>
          <w:rFonts w:eastAsia="TimesNewRoman"/>
          <w:iCs/>
          <w:lang w:val="en-US"/>
        </w:rPr>
        <w:t xml:space="preserve"> Participants petition liquor licensing authorities, mon</w:t>
      </w:r>
      <w:r>
        <w:rPr>
          <w:rFonts w:eastAsia="TimesNewRoman"/>
          <w:iCs/>
          <w:lang w:val="en-US"/>
        </w:rPr>
        <w:t>itor underage sales enforcement</w:t>
      </w:r>
      <w:r w:rsidRPr="00626B17">
        <w:rPr>
          <w:rFonts w:eastAsia="TimesNewRoman"/>
          <w:iCs/>
          <w:lang w:val="en-US"/>
        </w:rPr>
        <w:t xml:space="preserve"> and advocate for regulatory</w:t>
      </w:r>
      <w:r>
        <w:rPr>
          <w:rFonts w:eastAsia="TimesNewRoman"/>
          <w:iCs/>
          <w:lang w:val="en-US"/>
        </w:rPr>
        <w:t xml:space="preserve"> reforms experiences that build political efficacy </w:t>
      </w:r>
      <w:r w:rsidRPr="00626B17">
        <w:rPr>
          <w:rFonts w:eastAsia="TimesNewRoman"/>
          <w:iCs/>
          <w:lang w:val="en-US"/>
        </w:rPr>
        <w:t>while addressing environmental determinants of relapse. Thi</w:t>
      </w:r>
      <w:r>
        <w:rPr>
          <w:rFonts w:eastAsia="TimesNewRoman"/>
          <w:iCs/>
          <w:lang w:val="en-US"/>
        </w:rPr>
        <w:t>s pathway exemplifies Freire's praxis model</w:t>
      </w:r>
      <w:r w:rsidRPr="00626B17">
        <w:rPr>
          <w:rFonts w:eastAsia="TimesNewRoman"/>
          <w:iCs/>
          <w:lang w:val="en-US"/>
        </w:rPr>
        <w:t xml:space="preserve"> where reflection and action combine to transform reality.</w:t>
      </w:r>
    </w:p>
    <w:p w:rsidR="00626B17" w:rsidRDefault="00626B17" w:rsidP="00626B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St</w:t>
      </w:r>
      <w:r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ructural Challenges and Barriers: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Workforce Deficiencies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:  </w:t>
      </w:r>
    </w:p>
    <w:p w:rsidR="00626B17" w:rsidRP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India faces critical shortages in trained addiction professionals:  </w:t>
      </w:r>
    </w:p>
    <w:p w:rsidR="00626B17" w:rsidRPr="00626B17" w:rsidRDefault="00626B17" w:rsidP="00626B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Only *12,000 psychiatrists serve 7.5 crore individuals with substance use disorders.  </w:t>
      </w:r>
    </w:p>
    <w:p w:rsidR="00626B17" w:rsidRPr="00626B17" w:rsidRDefault="00626B17" w:rsidP="00626B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Unqualified counselors without standardized credentials dominate treatment delivery.   </w:t>
      </w:r>
    </w:p>
    <w:p w:rsidR="00626B17" w:rsidRPr="00626B17" w:rsidRDefault="00626B17" w:rsidP="00626B17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Peer counselors with experiential knowledge often substitute for qualified professionals despite lacking clinical training.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The Mental Healthcare Act 2017 mandates specific qualifications (g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raduate degrees plus six months training), yet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regul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atory enforcement remains weak particularly in rural areas.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This workforce crisis necessitates urgent development of accredited addiction counseling programs through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universities rather than short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term certificates.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lastRenderedPageBreak/>
        <w:t xml:space="preserve">Regulatory Fragmentation: </w:t>
      </w:r>
    </w:p>
    <w:p w:rsidR="00626B17" w:rsidRP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nity programs operate within a complex governance ecosystem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:  </w:t>
      </w:r>
    </w:p>
    <w:p w:rsidR="00626B17" w:rsidRPr="00626B17" w:rsidRDefault="00626B17" w:rsidP="00626B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Ministry of Social Justice: Funds NGOs through NAPDDR.  </w:t>
      </w:r>
    </w:p>
    <w:p w:rsidR="00626B17" w:rsidRPr="00626B17" w:rsidRDefault="00626B17" w:rsidP="00626B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Ministry of Health: Oversees medical treatment aspects.  </w:t>
      </w:r>
    </w:p>
    <w:p w:rsidR="00626B17" w:rsidRPr="00626B17" w:rsidRDefault="00626B17" w:rsidP="00626B17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State governments: Hold constitutional responsibility for health delivery.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This fragmentation creates jurisdictional ambiguities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regarding quality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standards, outcome monitoring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and grievance redressal. The absence of cen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tralized accreditation enables illegal de-addiction centers operating without registration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estimate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 at 35% of facilities in Delhi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Resource Constraints:  </w:t>
      </w:r>
    </w:p>
    <w:p w:rsidR="00626B17" w:rsidRP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Geographic and economic barriers persist:  </w:t>
      </w:r>
    </w:p>
    <w:p w:rsidR="00626B17" w:rsidRPr="00626B17" w:rsidRDefault="00626B17" w:rsidP="00626B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Urban concentration: 78% of treatment facilities located in metropolitan areas.  </w:t>
      </w:r>
    </w:p>
    <w:p w:rsidR="00626B17" w:rsidRPr="00626B17" w:rsidRDefault="00626B17" w:rsidP="00626B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Financial burden: Out of pocket expenditure exceeds 60% for AUD treatment.  </w:t>
      </w:r>
    </w:p>
    <w:p w:rsidR="00626B17" w:rsidRPr="00626B17" w:rsidRDefault="00626B17" w:rsidP="00626B17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Digital divides: Limited internet penetration in rural areas impedes telemedicine applications.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These constraints necessitate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inn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ovative resource sharing models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like mobile treatment uni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ts and primary care integration.</w:t>
      </w:r>
    </w:p>
    <w:p w:rsidR="00626B17" w:rsidRPr="00626B17" w:rsidRDefault="00626B17" w:rsidP="00626B17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Sociocultural Barriers:  </w:t>
      </w:r>
    </w:p>
    <w:p w:rsidR="00626B17" w:rsidRP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Deep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rooted cultural factors challenge implementation:  </w:t>
      </w:r>
    </w:p>
    <w:p w:rsidR="00626B17" w:rsidRPr="00626B17" w:rsidRDefault="00626B17" w:rsidP="00626B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Fatalistic attitudes: "Karma" interpretations hindering change motivation. </w:t>
      </w:r>
    </w:p>
    <w:p w:rsidR="00626B17" w:rsidRPr="00626B17" w:rsidRDefault="00626B17" w:rsidP="00626B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Caste-based exclusion: Marginalized groups facing service discrimination.  </w:t>
      </w:r>
    </w:p>
    <w:p w:rsidR="00626B17" w:rsidRPr="00626B17" w:rsidRDefault="00626B17" w:rsidP="00626B17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Gender norms: Women's treatment-seeking constrained by modesty expectations.  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Community programs must navigate these complexities through culturally intelligent adaptation ra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ther than cultural capitulation preserving evidence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elements while respecting contextual realities.</w:t>
      </w:r>
    </w:p>
    <w:p w:rsidR="00626B17" w:rsidRDefault="00626B17" w:rsidP="00626B17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Policy Implications and Recommendations:</w:t>
      </w:r>
    </w:p>
    <w:p w:rsid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Effectively scaling community-based treatment requires integrated policy reforms addressing identified structural barriers:</w:t>
      </w:r>
    </w:p>
    <w:p w:rsidR="00626B17" w:rsidRPr="00626B17" w:rsidRDefault="00626B17" w:rsidP="00626B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Regulatory Framework Reform:</w:t>
      </w:r>
    </w:p>
    <w:p w:rsidR="00626B17" w:rsidRPr="00626B17" w:rsidRDefault="00626B17" w:rsidP="00626B1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lastRenderedPageBreak/>
        <w:t xml:space="preserve">Establish accreditation systems for community programs under Mental Healthcare Act 2017 provisions. </w:t>
      </w:r>
    </w:p>
    <w:p w:rsidR="00626B17" w:rsidRPr="00626B17" w:rsidRDefault="00626B17" w:rsidP="00626B1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Implement rights based monitoring with surprise inspections and patient feedback mechanisms. </w:t>
      </w:r>
    </w:p>
    <w:p w:rsidR="00626B17" w:rsidRDefault="00626B17" w:rsidP="00626B17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Create legal aid cells specifically addressing treatment related rights violations.</w:t>
      </w:r>
    </w:p>
    <w:p w:rsidR="00626B17" w:rsidRDefault="00626B17" w:rsidP="00626B1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626B17" w:rsidRPr="00626B17" w:rsidRDefault="00626B17" w:rsidP="00626B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Workforce Development Strategies:  </w:t>
      </w:r>
    </w:p>
    <w:p w:rsidR="00626B17" w:rsidRPr="00626B17" w:rsidRDefault="00626B17" w:rsidP="00626B17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Launch Bachelor of Addiction Counseling programs in 50 universities by 2030.  </w:t>
      </w:r>
    </w:p>
    <w:p w:rsidR="00626B17" w:rsidRPr="006C020D" w:rsidRDefault="00626B17" w:rsidP="006C020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Develop experiential peer specialist roles with standardized supervision protocols.  </w:t>
      </w:r>
    </w:p>
    <w:p w:rsidR="00626B17" w:rsidRDefault="00626B17" w:rsidP="00626B1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626B17" w:rsidRPr="00626B17" w:rsidRDefault="00626B17" w:rsidP="00626B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Financing Innovations: </w:t>
      </w:r>
    </w:p>
    <w:p w:rsidR="00626B17" w:rsidRPr="00626B17" w:rsidRDefault="00626B17" w:rsidP="00626B1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Integrate AUD treatment within Ayushman Bharat insurance coverage.  </w:t>
      </w:r>
    </w:p>
    <w:p w:rsidR="00626B17" w:rsidRPr="00626B17" w:rsidRDefault="00626B17" w:rsidP="00626B1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Introduce community program vouchers for marginalized populations.  </w:t>
      </w:r>
    </w:p>
    <w:p w:rsidR="00626B17" w:rsidRDefault="00626B17" w:rsidP="00626B17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Establish pay for performance models tied to recovery outcomes.</w:t>
      </w:r>
    </w:p>
    <w:p w:rsidR="00626B17" w:rsidRDefault="00626B17" w:rsidP="00626B17">
      <w:pPr>
        <w:pStyle w:val="ListParagraph"/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626B17" w:rsidRPr="00626B17" w:rsidRDefault="00626B17" w:rsidP="00626B1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626B17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 xml:space="preserve">Technology Integration:  </w:t>
      </w:r>
    </w:p>
    <w:p w:rsidR="00626B17" w:rsidRPr="00626B17" w:rsidRDefault="00626B17" w:rsidP="00626B1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Develop regional language AI chatbots for relapse prevention support.  </w:t>
      </w:r>
    </w:p>
    <w:p w:rsidR="00626B17" w:rsidRPr="006C020D" w:rsidRDefault="006C020D" w:rsidP="006C020D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C020D">
        <w:rPr>
          <w:rFonts w:ascii="Times New Roman" w:hAnsi="Times New Roman" w:cs="Times New Roman"/>
          <w:sz w:val="24"/>
          <w:szCs w:val="24"/>
        </w:rPr>
        <w:t>Introduce mobile-based monitoring tools to track patients’ adherence to treatment</w:t>
      </w:r>
      <w:r w:rsidR="00626B17" w:rsidRPr="006C020D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.  </w:t>
      </w:r>
    </w:p>
    <w:p w:rsidR="00626B17" w:rsidRDefault="00626B17" w:rsidP="00626B17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Create digital peer support networks overcoming geographic isolation.</w:t>
      </w:r>
    </w:p>
    <w:p w:rsidR="00D04242" w:rsidRDefault="00D04242" w:rsidP="00D04242">
      <w:pPr>
        <w:pStyle w:val="ListParagraph"/>
        <w:spacing w:line="360" w:lineRule="auto"/>
        <w:ind w:left="1080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</w:p>
    <w:p w:rsidR="00D04242" w:rsidRPr="00D04242" w:rsidRDefault="00D04242" w:rsidP="00D0424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D04242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Conclusion:</w:t>
      </w:r>
    </w:p>
    <w:p w:rsidR="00626B17" w:rsidRPr="00626B17" w:rsidRDefault="00626B17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This sociological 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analysis demonstrates community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alcohol treatment programs as C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u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lturally Consonant Alternatives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to institutional approaches across diverse India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 contexts. Their effectiveness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evidenced by 73-81% abstinence rates 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versus 57% in hospital settings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derives from sophist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icated sociological mechanisms: Leveraging Social Capital, Facilitating Ritualistic Reintegration, Transforming Family Roles and Enabling Structural E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ngagement. These programs successfully navigate India's complex sociocultural landscape by respecting indigenous meaning sys</w:t>
      </w:r>
      <w:r w:rsid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tems while introducing evidence </w:t>
      </w:r>
      <w:r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interventions.</w:t>
      </w:r>
    </w:p>
    <w:p w:rsidR="00D04242" w:rsidRDefault="00D04242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Significant Challenges Persist: Workforce Deficiencies, Regulatory Fragmentation, Resource C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onstrain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ts and deep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rooted sociocultural barriers. Addressing these requires pol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icy reforms establishing rights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framework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s,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developing professionalized workforce systems, im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plementing innovative financing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and integrating appropriate technologies. Future research should prioritize longit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udinal studies examining decade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long recovery trajectories,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lastRenderedPageBreak/>
        <w:t>implementation scienc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 evaluating scaling frameworks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and action research empowering community ownership.</w:t>
      </w:r>
    </w:p>
    <w:p w:rsidR="00626B17" w:rsidRDefault="00D04242" w:rsidP="00626B17">
      <w:p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Community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based approaches offer more than technical solut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ions to alcohol dependence they represent sociological interventions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that reconfigure relationships b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etween individuals, communities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and health systems. By respecting cultural wisdom while integrating scientific knowledge, these models illuminate pathwa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ys toward culturally grounded recovery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 that merits prioritization in India's ev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olving mental health landscape.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Their greatest promise lies not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merely in treating individuals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but in healing communities through reconstructing social fabrics torn by alcoho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l dependence 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 vision al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igning with Gandhi's ideal of "Swaraj"</w:t>
      </w:r>
      <w:r w:rsidR="00626B17" w:rsidRPr="00626B17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(self-rule) applied to public health.</w:t>
      </w:r>
    </w:p>
    <w:p w:rsidR="00D04242" w:rsidRDefault="00D04242" w:rsidP="00D04242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  <w:r w:rsidRPr="00D04242"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  <w:t>References: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Deaddiction Services in India: Current Status (2024). Indian Journal of Psychiatry, 47(1), 1–4.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Two-year outcome of a treatment program for alcohol use disorder in regional and rural India (2025). Indian Journal of Psychiatry, 67(7), 659–665.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The effectiveness of the community reinforcement approach in the context of quality of life and happiness among people using drugs (2024). Frontiers in Public Health.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Outcome of Camp Approach in Treatment of Alcohol Use Disorder (2024). Journal of Psychiatry Spectrum, 3(2), 101–109.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Study finds effective interventions to prevent alcohol use among American Indian and rural youth (2017). NIAAA News Release.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National Action Plan for Drug Demand Reduction (2018-2025). National Institute of Social Defence.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Drug &amp; </w:t>
      </w:r>
      <w:r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Alcohol Rehabs in India (2025). </w:t>
      </w: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 xml:space="preserve">Recovery.com.  </w:t>
      </w:r>
    </w:p>
    <w:p w:rsidR="00D04242" w:rsidRPr="00D04242" w:rsidRDefault="00D04242" w:rsidP="00D0424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eastAsia="TimesNewRoman" w:hAnsi="Times New Roman" w:cs="Times New Roman"/>
          <w:iCs/>
          <w:sz w:val="24"/>
          <w:szCs w:val="24"/>
          <w:lang w:val="en-US"/>
        </w:rPr>
      </w:pPr>
      <w:r w:rsidRPr="00D04242">
        <w:rPr>
          <w:rFonts w:ascii="Times New Roman" w:eastAsia="TimesNewRoman" w:hAnsi="Times New Roman" w:cs="Times New Roman"/>
          <w:iCs/>
          <w:sz w:val="24"/>
          <w:szCs w:val="24"/>
          <w:lang w:val="en-US"/>
        </w:rPr>
        <w:t>Alcohol Use Disorder Treatment Market Analysis (2025-2035). Future Market Insights.</w:t>
      </w: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4"/>
          <w:szCs w:val="24"/>
          <w:lang w:val="en-US"/>
        </w:rPr>
      </w:pPr>
    </w:p>
    <w:p w:rsidR="00053987" w:rsidRPr="00053987" w:rsidRDefault="00053987" w:rsidP="00053987">
      <w:pPr>
        <w:spacing w:line="360" w:lineRule="auto"/>
        <w:jc w:val="both"/>
        <w:rPr>
          <w:rFonts w:ascii="Times New Roman" w:eastAsia="TimesNewRoman" w:hAnsi="Times New Roman" w:cs="Times New Roman"/>
          <w:b/>
          <w:bCs/>
          <w:i/>
          <w:sz w:val="28"/>
          <w:szCs w:val="28"/>
          <w:lang w:val="en-US"/>
        </w:rPr>
      </w:pPr>
    </w:p>
    <w:p w:rsidR="00355505" w:rsidRPr="00203250" w:rsidRDefault="00355505" w:rsidP="002032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5505" w:rsidRPr="00203250" w:rsidSect="00CB4727">
      <w:pgSz w:w="11906" w:h="16838"/>
      <w:pgMar w:top="990" w:right="1286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B15"/>
      </v:shape>
    </w:pict>
  </w:numPicBullet>
  <w:abstractNum w:abstractNumId="0">
    <w:nsid w:val="06AD576E"/>
    <w:multiLevelType w:val="hybridMultilevel"/>
    <w:tmpl w:val="ABEE46A2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0A2E3CFB"/>
    <w:multiLevelType w:val="hybridMultilevel"/>
    <w:tmpl w:val="57F83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4F6F47"/>
    <w:multiLevelType w:val="multilevel"/>
    <w:tmpl w:val="849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5211A7"/>
    <w:multiLevelType w:val="hybridMultilevel"/>
    <w:tmpl w:val="FDBA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61E2"/>
    <w:multiLevelType w:val="hybridMultilevel"/>
    <w:tmpl w:val="D8D865F2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22956801"/>
    <w:multiLevelType w:val="hybridMultilevel"/>
    <w:tmpl w:val="0FF0CD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E47B4"/>
    <w:multiLevelType w:val="hybridMultilevel"/>
    <w:tmpl w:val="0FF4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2384F"/>
    <w:multiLevelType w:val="hybridMultilevel"/>
    <w:tmpl w:val="B548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53B0D"/>
    <w:multiLevelType w:val="hybridMultilevel"/>
    <w:tmpl w:val="1598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9579E"/>
    <w:multiLevelType w:val="hybridMultilevel"/>
    <w:tmpl w:val="86FE61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47390"/>
    <w:multiLevelType w:val="hybridMultilevel"/>
    <w:tmpl w:val="CE18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307AD"/>
    <w:multiLevelType w:val="hybridMultilevel"/>
    <w:tmpl w:val="4EB6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D0C28"/>
    <w:multiLevelType w:val="hybridMultilevel"/>
    <w:tmpl w:val="00B44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763455"/>
    <w:multiLevelType w:val="hybridMultilevel"/>
    <w:tmpl w:val="BFAEF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36613"/>
    <w:multiLevelType w:val="hybridMultilevel"/>
    <w:tmpl w:val="08447DA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F31C1"/>
    <w:multiLevelType w:val="hybridMultilevel"/>
    <w:tmpl w:val="D4A0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81709"/>
    <w:multiLevelType w:val="hybridMultilevel"/>
    <w:tmpl w:val="ECE4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A7A7B"/>
    <w:multiLevelType w:val="hybridMultilevel"/>
    <w:tmpl w:val="467A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D7777"/>
    <w:multiLevelType w:val="hybridMultilevel"/>
    <w:tmpl w:val="A22E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FF6EFE"/>
    <w:multiLevelType w:val="hybridMultilevel"/>
    <w:tmpl w:val="C164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E485D"/>
    <w:multiLevelType w:val="hybridMultilevel"/>
    <w:tmpl w:val="9616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9707E"/>
    <w:multiLevelType w:val="hybridMultilevel"/>
    <w:tmpl w:val="DB7822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A2330"/>
    <w:multiLevelType w:val="hybridMultilevel"/>
    <w:tmpl w:val="84C05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5925C8"/>
    <w:multiLevelType w:val="hybridMultilevel"/>
    <w:tmpl w:val="F5B6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246AC7"/>
    <w:multiLevelType w:val="hybridMultilevel"/>
    <w:tmpl w:val="4B08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82F4E"/>
    <w:multiLevelType w:val="hybridMultilevel"/>
    <w:tmpl w:val="B572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E75994"/>
    <w:multiLevelType w:val="hybridMultilevel"/>
    <w:tmpl w:val="C7907DD8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092534B"/>
    <w:multiLevelType w:val="hybridMultilevel"/>
    <w:tmpl w:val="03EE1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5F0297"/>
    <w:multiLevelType w:val="hybridMultilevel"/>
    <w:tmpl w:val="22AC7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3E2A94"/>
    <w:multiLevelType w:val="hybridMultilevel"/>
    <w:tmpl w:val="4CB2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8224FC"/>
    <w:multiLevelType w:val="hybridMultilevel"/>
    <w:tmpl w:val="BF385E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A6980"/>
    <w:multiLevelType w:val="hybridMultilevel"/>
    <w:tmpl w:val="2438D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22073B"/>
    <w:multiLevelType w:val="hybridMultilevel"/>
    <w:tmpl w:val="15825A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912E1F"/>
    <w:multiLevelType w:val="hybridMultilevel"/>
    <w:tmpl w:val="248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A3CA3"/>
    <w:multiLevelType w:val="hybridMultilevel"/>
    <w:tmpl w:val="9FEE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4D2FCA"/>
    <w:multiLevelType w:val="hybridMultilevel"/>
    <w:tmpl w:val="1422BCDC"/>
    <w:lvl w:ilvl="0" w:tplc="EDFC88AE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B7053F"/>
    <w:multiLevelType w:val="hybridMultilevel"/>
    <w:tmpl w:val="82C8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83273"/>
    <w:multiLevelType w:val="hybridMultilevel"/>
    <w:tmpl w:val="3770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0B2FB5"/>
    <w:multiLevelType w:val="hybridMultilevel"/>
    <w:tmpl w:val="9EDCDF88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D70990"/>
    <w:multiLevelType w:val="hybridMultilevel"/>
    <w:tmpl w:val="7D8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337CF"/>
    <w:multiLevelType w:val="hybridMultilevel"/>
    <w:tmpl w:val="B608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A627B"/>
    <w:multiLevelType w:val="hybridMultilevel"/>
    <w:tmpl w:val="9E84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C64E4"/>
    <w:multiLevelType w:val="multilevel"/>
    <w:tmpl w:val="90A2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14"/>
  </w:num>
  <w:num w:numId="5">
    <w:abstractNumId w:val="38"/>
  </w:num>
  <w:num w:numId="6">
    <w:abstractNumId w:val="5"/>
  </w:num>
  <w:num w:numId="7">
    <w:abstractNumId w:val="20"/>
  </w:num>
  <w:num w:numId="8">
    <w:abstractNumId w:val="17"/>
  </w:num>
  <w:num w:numId="9">
    <w:abstractNumId w:val="6"/>
  </w:num>
  <w:num w:numId="10">
    <w:abstractNumId w:val="41"/>
  </w:num>
  <w:num w:numId="11">
    <w:abstractNumId w:val="2"/>
  </w:num>
  <w:num w:numId="12">
    <w:abstractNumId w:val="42"/>
  </w:num>
  <w:num w:numId="13">
    <w:abstractNumId w:val="11"/>
  </w:num>
  <w:num w:numId="14">
    <w:abstractNumId w:val="16"/>
  </w:num>
  <w:num w:numId="15">
    <w:abstractNumId w:val="28"/>
  </w:num>
  <w:num w:numId="16">
    <w:abstractNumId w:val="26"/>
  </w:num>
  <w:num w:numId="17">
    <w:abstractNumId w:val="12"/>
  </w:num>
  <w:num w:numId="18">
    <w:abstractNumId w:val="32"/>
  </w:num>
  <w:num w:numId="19">
    <w:abstractNumId w:val="31"/>
  </w:num>
  <w:num w:numId="20">
    <w:abstractNumId w:val="9"/>
  </w:num>
  <w:num w:numId="21">
    <w:abstractNumId w:val="29"/>
  </w:num>
  <w:num w:numId="22">
    <w:abstractNumId w:val="35"/>
  </w:num>
  <w:num w:numId="23">
    <w:abstractNumId w:val="13"/>
  </w:num>
  <w:num w:numId="24">
    <w:abstractNumId w:val="19"/>
  </w:num>
  <w:num w:numId="25">
    <w:abstractNumId w:val="39"/>
  </w:num>
  <w:num w:numId="26">
    <w:abstractNumId w:val="25"/>
  </w:num>
  <w:num w:numId="27">
    <w:abstractNumId w:val="3"/>
  </w:num>
  <w:num w:numId="28">
    <w:abstractNumId w:val="22"/>
  </w:num>
  <w:num w:numId="29">
    <w:abstractNumId w:val="8"/>
  </w:num>
  <w:num w:numId="30">
    <w:abstractNumId w:val="27"/>
  </w:num>
  <w:num w:numId="31">
    <w:abstractNumId w:val="40"/>
  </w:num>
  <w:num w:numId="32">
    <w:abstractNumId w:val="15"/>
  </w:num>
  <w:num w:numId="33">
    <w:abstractNumId w:val="33"/>
  </w:num>
  <w:num w:numId="34">
    <w:abstractNumId w:val="7"/>
  </w:num>
  <w:num w:numId="35">
    <w:abstractNumId w:val="37"/>
  </w:num>
  <w:num w:numId="36">
    <w:abstractNumId w:val="24"/>
  </w:num>
  <w:num w:numId="37">
    <w:abstractNumId w:val="34"/>
  </w:num>
  <w:num w:numId="38">
    <w:abstractNumId w:val="30"/>
  </w:num>
  <w:num w:numId="39">
    <w:abstractNumId w:val="36"/>
  </w:num>
  <w:num w:numId="40">
    <w:abstractNumId w:val="10"/>
  </w:num>
  <w:num w:numId="41">
    <w:abstractNumId w:val="23"/>
  </w:num>
  <w:num w:numId="42">
    <w:abstractNumId w:val="1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22EE"/>
    <w:rsid w:val="00053987"/>
    <w:rsid w:val="00127115"/>
    <w:rsid w:val="001472DB"/>
    <w:rsid w:val="00183880"/>
    <w:rsid w:val="001A39E5"/>
    <w:rsid w:val="001B4FFD"/>
    <w:rsid w:val="001D1856"/>
    <w:rsid w:val="001E29A8"/>
    <w:rsid w:val="00203250"/>
    <w:rsid w:val="00291640"/>
    <w:rsid w:val="002B300B"/>
    <w:rsid w:val="002C28EF"/>
    <w:rsid w:val="002D10A0"/>
    <w:rsid w:val="00336E91"/>
    <w:rsid w:val="00355505"/>
    <w:rsid w:val="003B3548"/>
    <w:rsid w:val="003B3E1B"/>
    <w:rsid w:val="003C033F"/>
    <w:rsid w:val="003F5A74"/>
    <w:rsid w:val="003F6DC2"/>
    <w:rsid w:val="004A1385"/>
    <w:rsid w:val="00527B03"/>
    <w:rsid w:val="005322EE"/>
    <w:rsid w:val="00580F87"/>
    <w:rsid w:val="005B2FED"/>
    <w:rsid w:val="005C5FC3"/>
    <w:rsid w:val="005E04D5"/>
    <w:rsid w:val="00603274"/>
    <w:rsid w:val="00626B17"/>
    <w:rsid w:val="006735FA"/>
    <w:rsid w:val="006A4546"/>
    <w:rsid w:val="006C020D"/>
    <w:rsid w:val="006C1E4B"/>
    <w:rsid w:val="00776126"/>
    <w:rsid w:val="0077612E"/>
    <w:rsid w:val="007A20E0"/>
    <w:rsid w:val="007A5A76"/>
    <w:rsid w:val="007A743F"/>
    <w:rsid w:val="007C4097"/>
    <w:rsid w:val="008264BF"/>
    <w:rsid w:val="00831082"/>
    <w:rsid w:val="008762B0"/>
    <w:rsid w:val="00893774"/>
    <w:rsid w:val="00895CCC"/>
    <w:rsid w:val="008C5F1A"/>
    <w:rsid w:val="008C60B4"/>
    <w:rsid w:val="008E4CB9"/>
    <w:rsid w:val="008F2E6A"/>
    <w:rsid w:val="008F432F"/>
    <w:rsid w:val="008F7C32"/>
    <w:rsid w:val="009674CD"/>
    <w:rsid w:val="00A06449"/>
    <w:rsid w:val="00A1218F"/>
    <w:rsid w:val="00A12285"/>
    <w:rsid w:val="00A17C1F"/>
    <w:rsid w:val="00A3685B"/>
    <w:rsid w:val="00A82A1E"/>
    <w:rsid w:val="00A8544A"/>
    <w:rsid w:val="00A94E28"/>
    <w:rsid w:val="00AC0CD3"/>
    <w:rsid w:val="00AE0FAE"/>
    <w:rsid w:val="00AE7C7B"/>
    <w:rsid w:val="00B465ED"/>
    <w:rsid w:val="00BB25BB"/>
    <w:rsid w:val="00BD4FEB"/>
    <w:rsid w:val="00C1765D"/>
    <w:rsid w:val="00C504B2"/>
    <w:rsid w:val="00C964F4"/>
    <w:rsid w:val="00CB4727"/>
    <w:rsid w:val="00D04242"/>
    <w:rsid w:val="00D666A4"/>
    <w:rsid w:val="00DA61E4"/>
    <w:rsid w:val="00DD140B"/>
    <w:rsid w:val="00DD60B9"/>
    <w:rsid w:val="00E01D77"/>
    <w:rsid w:val="00E576A2"/>
    <w:rsid w:val="00ED16B8"/>
    <w:rsid w:val="00ED46EB"/>
    <w:rsid w:val="00F0245F"/>
    <w:rsid w:val="00F057BC"/>
    <w:rsid w:val="00F541E3"/>
    <w:rsid w:val="00F715FB"/>
    <w:rsid w:val="00F71824"/>
    <w:rsid w:val="00F93DD9"/>
    <w:rsid w:val="00FE2A3B"/>
    <w:rsid w:val="00FF0F85"/>
    <w:rsid w:val="00FF6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56"/>
  </w:style>
  <w:style w:type="paragraph" w:styleId="Heading1">
    <w:name w:val="heading 1"/>
    <w:basedOn w:val="Normal"/>
    <w:next w:val="Normal"/>
    <w:link w:val="Heading1Char"/>
    <w:uiPriority w:val="9"/>
    <w:qFormat/>
    <w:rsid w:val="00355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271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5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355505"/>
  </w:style>
  <w:style w:type="paragraph" w:styleId="ListParagraph">
    <w:name w:val="List Paragraph"/>
    <w:basedOn w:val="Normal"/>
    <w:uiPriority w:val="34"/>
    <w:qFormat/>
    <w:rsid w:val="001B4F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A4546"/>
    <w:rPr>
      <w:i/>
      <w:iCs/>
    </w:rPr>
  </w:style>
  <w:style w:type="character" w:customStyle="1" w:styleId="oxzekf">
    <w:name w:val="oxzekf"/>
    <w:basedOn w:val="DefaultParagraphFont"/>
    <w:rsid w:val="00A82A1E"/>
  </w:style>
  <w:style w:type="character" w:customStyle="1" w:styleId="uv3um">
    <w:name w:val="uv3um"/>
    <w:basedOn w:val="DefaultParagraphFont"/>
    <w:rsid w:val="00A82A1E"/>
  </w:style>
  <w:style w:type="character" w:customStyle="1" w:styleId="cite-bracket">
    <w:name w:val="cite-bracket"/>
    <w:basedOn w:val="DefaultParagraphFont"/>
    <w:rsid w:val="00A82A1E"/>
  </w:style>
  <w:style w:type="character" w:styleId="Strong">
    <w:name w:val="Strong"/>
    <w:basedOn w:val="DefaultParagraphFont"/>
    <w:uiPriority w:val="22"/>
    <w:qFormat/>
    <w:rsid w:val="00336E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5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271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F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5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ibliography">
    <w:name w:val="Bibliography"/>
    <w:basedOn w:val="Normal"/>
    <w:next w:val="Normal"/>
    <w:uiPriority w:val="37"/>
    <w:unhideWhenUsed/>
    <w:rsid w:val="00355505"/>
  </w:style>
  <w:style w:type="paragraph" w:styleId="ListParagraph">
    <w:name w:val="List Paragraph"/>
    <w:basedOn w:val="Normal"/>
    <w:uiPriority w:val="34"/>
    <w:qFormat/>
    <w:rsid w:val="001B4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71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KUM06</b:Tag>
    <b:SourceType>JournalArticle</b:SourceType>
    <b:Guid>{255FDF12-899B-4954-BC7C-8B4332C9A43B}</b:Guid>
    <b:Title>A SOCIOLOGICAL STUDY ON IMPACT OF ALCOHOLISM ON DERPRESSION</b:Title>
    <b:Year>2006</b:Year>
    <b:Author>
      <b:Author>
        <b:NameList>
          <b:Person>
            <b:Last>KUMAR</b:Last>
            <b:First>AMIT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F17C952-ACB6-42E4-8CFE-50055327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12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aa</cp:lastModifiedBy>
  <cp:revision>110</cp:revision>
  <dcterms:created xsi:type="dcterms:W3CDTF">2023-08-18T18:06:00Z</dcterms:created>
  <dcterms:modified xsi:type="dcterms:W3CDTF">2025-11-08T12:39:00Z</dcterms:modified>
</cp:coreProperties>
</file>